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D850BE">
      <w:pPr>
        <w:pStyle w:val="1"/>
      </w:pPr>
      <w:r>
        <w:fldChar w:fldCharType="begin"/>
      </w:r>
      <w:r>
        <w:instrText>HYPERLINK "http://internet.garant.ru/document?id=72146094&amp;sub=0"</w:instrText>
      </w:r>
      <w:r>
        <w:fldChar w:fldCharType="separate"/>
      </w:r>
      <w:r>
        <w:rPr>
          <w:rStyle w:val="a4"/>
          <w:b w:val="0"/>
          <w:bCs w:val="0"/>
        </w:rPr>
        <w:t>Положение Банка России от 17 апреля 2019 г. N 684-П "Об установлении обязательных для некредитных финансовых орга</w:t>
      </w:r>
      <w:r>
        <w:rPr>
          <w:rStyle w:val="a4"/>
          <w:b w:val="0"/>
          <w:bCs w:val="0"/>
        </w:rPr>
        <w:t>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</w:t>
      </w:r>
      <w:r>
        <w:fldChar w:fldCharType="end"/>
      </w:r>
    </w:p>
    <w:p w:rsidR="00000000" w:rsidRDefault="00D850BE">
      <w:pPr>
        <w:pStyle w:val="1"/>
      </w:pPr>
      <w:r>
        <w:t>Положение Банка России от 17 апреля 2019 г. N 684-П</w:t>
      </w:r>
      <w:r>
        <w:br/>
        <w:t>"Об установлении обязат</w:t>
      </w:r>
      <w:r>
        <w:t>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</w:t>
      </w:r>
    </w:p>
    <w:p w:rsidR="00000000" w:rsidRDefault="00D850BE"/>
    <w:p w:rsidR="00000000" w:rsidRDefault="00D850BE">
      <w:bookmarkStart w:id="1" w:name="sub_99"/>
      <w:r>
        <w:t xml:space="preserve">На основании </w:t>
      </w:r>
      <w:hyperlink r:id="rId7" w:history="1">
        <w:r>
          <w:rPr>
            <w:rStyle w:val="a4"/>
          </w:rPr>
          <w:t>статьи 76.4-1</w:t>
        </w:r>
      </w:hyperlink>
      <w:r>
        <w:t xml:space="preserve"> Федерального закона от 10 июля 2002 года N 86-ФЗ "О Центральном банке Российской Федерации (Банке России)" (Собрание законодательства Российской Федерации, 2002, N 28, ст. </w:t>
      </w:r>
      <w:r>
        <w:t>2790; 2003, N 2, ст. 157; N 52, ст. 5032; 2004, N 27, ст. 2711; N 31, ст. 3233; 2005, N 25, ст. 2426; N 30, ст. 3101; 2006, N 19, ст. 2061; N 25, ст. 2648; 2007, N 1, ст. 9, ст. 10; N 10, ст. 1151; N 18, ст. 2117; 2008, N 42, ст. 4696, ст. 4699; N 44, ст. </w:t>
      </w:r>
      <w:r>
        <w:t>4982; N 52, ст. 6229, ст. 6231; 2009, N 1, ст. 25; N 29, ст. 3629; N 48, ст. 5731; 2010, N 45, ст. 5756; 2011, N 7, ст. 907; N 27, ст. 3873; N 43, ст. 5973; N 48, ст. 6728; 2012, N 50, ст. 6954; N 53, ст. 7591, ст. 7607; 2013, N 11, ст. 1076; N 14, ст. 164</w:t>
      </w:r>
      <w:r>
        <w:t>9; N 19, ст. 2329; N 27, ст. 3438, ст. 3476, ст. 3477; N 30, ст. 4084; N 49, ст. 6336; N 51, ст. 6695, ст. 6699; N 52, ст. 6975; 2014, N 19, ст. 2311, ст. 2317; N 27, ст. 3634; N 30, ст. 4219; N 40, ст. 5318; N 45, ст. 6154; N 52, ст. 7543; 2015, N 1, ст. </w:t>
      </w:r>
      <w:r>
        <w:t>4, ст. 37; N 27, ст. 3958, ст. 4001; N 29, ст. 4348, ст. 4357; N 41, ст. 5639; N 48, ст. 6699; 2016, N 1, ст. 23, ст. 46, ст. 50; N 26, ст. 3891; N 27, ст. 4225, ст. 4273, ст. 4295; 2017, N 1,ст. 46; N 14, ст. 1997; N 18, ст. 2661, ст. 2669; N 27, ст. 3950</w:t>
      </w:r>
      <w:r>
        <w:t>; N 30, ст. 4456; N 31, ст. 4830; N 50, ст. 7562; 2018, N 1, ст. 66; N 9, ст. 1286; N 11, ст. 1584, ст. 1588; N 18, ст. 2557; N 24, ст. 3400; N 27, ст. 3950; N 31, ст. 4852; N 32, ст. 5115; N 49, ст. 7524; N 53, ст. 8411, ст. 8440) настоящее Положение уста</w:t>
      </w:r>
      <w:r>
        <w:t xml:space="preserve">навливает обязательные для некредитных финансовых организаций требования к обеспечению защиты информации при осуществлении деятельности в сфере финансовых рынков, предусмотренной </w:t>
      </w:r>
      <w:hyperlink r:id="rId8" w:history="1">
        <w:r>
          <w:rPr>
            <w:rStyle w:val="a4"/>
          </w:rPr>
          <w:t>частью 1 ст</w:t>
        </w:r>
        <w:r>
          <w:rPr>
            <w:rStyle w:val="a4"/>
          </w:rPr>
          <w:t>атьи 76.1</w:t>
        </w:r>
      </w:hyperlink>
      <w:r>
        <w:t xml:space="preserve"> Федерального закона от 10 июля 2002 года N 86-ФЗ "О Центральном банке Российской Федерации (Банке России)", в целях противодействия осуществлению незаконных финансовых операций.</w:t>
      </w:r>
    </w:p>
    <w:p w:rsidR="00000000" w:rsidRDefault="00D850BE">
      <w:bookmarkStart w:id="2" w:name="sub_1"/>
      <w:bookmarkEnd w:id="1"/>
      <w:r>
        <w:t>1. В целях противодействия осуществлению незаконных фи</w:t>
      </w:r>
      <w:r>
        <w:t xml:space="preserve">нансовых операций при осуществлении деятельности в сфере финансовых рынков, предусмотренной </w:t>
      </w:r>
      <w:hyperlink r:id="rId9" w:history="1">
        <w:r>
          <w:rPr>
            <w:rStyle w:val="a4"/>
          </w:rPr>
          <w:t>частью 1 статьи 76.1</w:t>
        </w:r>
      </w:hyperlink>
      <w:r>
        <w:t xml:space="preserve"> Федерального закона от 10 июля 2002 года N 86-ФЗ "О Центральном банке Росс</w:t>
      </w:r>
      <w:r>
        <w:t>ийской Федерации (Банке России)", некредитные финансовые организации, осуществляющие финансовые операции (далее - некредитные финансовые организации), должны осуществлять защиту следующей информации, получаемой, подготавливаемой, обрабатываемой, передаваем</w:t>
      </w:r>
      <w:r>
        <w:t>ой и хранимой в автоматизированных системах, используемых некредитными финансовыми организациями (далее соответственно - автоматизированные системы, защищаемая информация, защита информации):</w:t>
      </w:r>
    </w:p>
    <w:p w:rsidR="00000000" w:rsidRDefault="00D850BE">
      <w:bookmarkStart w:id="3" w:name="sub_102"/>
      <w:bookmarkEnd w:id="2"/>
      <w:r>
        <w:t xml:space="preserve">информации, содержащейся в документах, составляемых </w:t>
      </w:r>
      <w:r>
        <w:t>при осуществлении финансовых операций в электронном виде работниками некредитных финансовых организаций и (или) клиентами некредитных финансовых организаций (далее - электронные сообщения);</w:t>
      </w:r>
    </w:p>
    <w:bookmarkEnd w:id="3"/>
    <w:p w:rsidR="00000000" w:rsidRDefault="00D850BE">
      <w:r>
        <w:t>информации, необходимой некредитным финансовым организациям</w:t>
      </w:r>
      <w:r>
        <w:t xml:space="preserve"> для авторизации своих клиентов в целях осуществления финансовых операций и удостоверения права клиентов распоряжаться денежными средствами, ценными бумагами или иным имуществом;</w:t>
      </w:r>
    </w:p>
    <w:p w:rsidR="00000000" w:rsidRDefault="00D850BE">
      <w:bookmarkStart w:id="4" w:name="sub_104"/>
      <w:r>
        <w:t xml:space="preserve">информации об осуществленных некредитными финансовыми организациями и </w:t>
      </w:r>
      <w:r>
        <w:t>их клиентами финансовых операциях;</w:t>
      </w:r>
    </w:p>
    <w:bookmarkEnd w:id="4"/>
    <w:p w:rsidR="00000000" w:rsidRDefault="00D850BE">
      <w:r>
        <w:t>ключевой информации средств криптографической защиты информации (далее - СКЗИ), используемой некредитными финансовыми организациями и их клиентами при осуществлении финансовых операций (далее - криптографические кл</w:t>
      </w:r>
      <w:r>
        <w:t>ючи).</w:t>
      </w:r>
    </w:p>
    <w:p w:rsidR="00000000" w:rsidRDefault="00D850BE">
      <w:r>
        <w:t xml:space="preserve">В случае если защищаемая информация содержит персональные данные, некредитные </w:t>
      </w:r>
      <w:r>
        <w:lastRenderedPageBreak/>
        <w:t xml:space="preserve">финансовые организации должны применять меры по обеспечению безопасности персональных данных при их обработке в соответствии со </w:t>
      </w:r>
      <w:hyperlink r:id="rId10" w:history="1">
        <w:r>
          <w:rPr>
            <w:rStyle w:val="a4"/>
          </w:rPr>
          <w:t>статьей 19</w:t>
        </w:r>
      </w:hyperlink>
      <w:r>
        <w:t xml:space="preserve"> Федерального закона от 27 июля 2006 года N 152-ФЗ "О персональных данных" (Собрание законодательства Российской Федерации, 2006, N 31, ст. 3451; 2009, N 48, ст. 5716; N 52, ст. 6439; 2010, N 27, ст. 3407; N 31, ст. 4173, </w:t>
      </w:r>
      <w:r>
        <w:t>ст. 4196; N 49, ст. 6409; 2011, N 23, ст. 3263; N 31, ст. 4701; 2013, N 14, ст. 1651; N 30, ст. 4038; N 51, ст. 6683; 2014, N 23, ст. 2927; N 30, ст. 4217, ст. 4243; 2016, N 27, ст. 4164; 2017, N 9, ст. 1276; N 27, ст. 3945; N 31, ст. 4772; 2018, N 1, ст. </w:t>
      </w:r>
      <w:r>
        <w:t>82) (далее - Федеральный закон "О персональных данных").</w:t>
      </w:r>
    </w:p>
    <w:p w:rsidR="00000000" w:rsidRDefault="00D850BE">
      <w:bookmarkStart w:id="5" w:name="sub_2"/>
      <w:r>
        <w:t>2. Некредитные финансовые организации должны обеспечивать доведение до своих клиентов рекомендаций по защите информации от воздействия программных кодов, приводящих к нарушению штатного функцион</w:t>
      </w:r>
      <w:r>
        <w:t>ирования средства вычислительной техники (далее - вредоносный код), в целях противодействия незаконным финансовым операциям.</w:t>
      </w:r>
    </w:p>
    <w:bookmarkEnd w:id="5"/>
    <w:p w:rsidR="00000000" w:rsidRDefault="00D850BE">
      <w:r>
        <w:t>Некредитные финансовые организации должны обеспечивать доведение до своих клиентов следующей информации:</w:t>
      </w:r>
    </w:p>
    <w:p w:rsidR="00000000" w:rsidRDefault="00D850BE">
      <w:r>
        <w:t>о возможных рисках по</w:t>
      </w:r>
      <w:r>
        <w:t>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осуществления;</w:t>
      </w:r>
    </w:p>
    <w:p w:rsidR="00000000" w:rsidRDefault="00D850BE">
      <w:r>
        <w:t>о мерах по предотвращению несанкционированного доступа к защищаемой информации, в том числе при утрате (п</w:t>
      </w:r>
      <w:r>
        <w:t>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</w:t>
      </w:r>
      <w:r>
        <w:t>рации, и своевременному обнаружению воздействия вредоносного кода.</w:t>
      </w:r>
    </w:p>
    <w:p w:rsidR="00000000" w:rsidRDefault="00D850BE">
      <w:bookmarkStart w:id="6" w:name="sub_3"/>
      <w:r>
        <w:t>3. Обеспечение защиты информации с помощью СКЗИ некредитные финансовые организации должны осуществлять в соответствии с технической документацией на СКЗИ, а также следующими федеральны</w:t>
      </w:r>
      <w:r>
        <w:t>ми законами и нормативными правовыми актами Российской Федерации:</w:t>
      </w:r>
    </w:p>
    <w:bookmarkEnd w:id="6"/>
    <w:p w:rsidR="00000000" w:rsidRDefault="00D850BE">
      <w:r>
        <w:fldChar w:fldCharType="begin"/>
      </w:r>
      <w:r>
        <w:instrText>HYPERLINK "http://internet.garant.ru/document?id=12084522&amp;sub=0"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года N 63-ФЗ "Об электронной подписи" (Собрание законодательства Российской Федер</w:t>
      </w:r>
      <w:r>
        <w:t>ации, 2011, N 15, ст. 2036; N 27, ст. 3880; 2012, N 29, ст. 3988; 2013, N 14, ст. 1668; N 27, ст. 3463, ст. 3477; 2014, N 11, ст. 1098; N 26, ст. 3390; 2016, N 1, ст. 65; N 26, ст. 3889) (далее - Федеральный закон "Об электронной подписи");</w:t>
      </w:r>
    </w:p>
    <w:p w:rsidR="00000000" w:rsidRDefault="00D850BE"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данных";</w:t>
      </w:r>
    </w:p>
    <w:p w:rsidR="00000000" w:rsidRDefault="00D850BE"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года N 1119 "Об утвержден</w:t>
      </w:r>
      <w:r>
        <w:t>ии требований к защите персональных данных при их обработке в информационных системах персональных данных" (Собрание законодательства Российской Федерации, 2012, N 45, ст. 6257);</w:t>
      </w:r>
    </w:p>
    <w:p w:rsidR="00000000" w:rsidRDefault="00D850BE">
      <w:hyperlink r:id="rId13" w:history="1">
        <w:r>
          <w:rPr>
            <w:rStyle w:val="a4"/>
          </w:rPr>
          <w:t>приказом</w:t>
        </w:r>
      </w:hyperlink>
      <w:r>
        <w:t xml:space="preserve"> Феде</w:t>
      </w:r>
      <w:r>
        <w:t>ральной службы безопасности Российской Федерации от 9 февраля 2005 года N 66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ПКЗ-2005)", зарегистрированны</w:t>
      </w:r>
      <w:r>
        <w:t>м Министерством юстиции Российской Федерации 3 марта 2005 года N 6382, 25 мая 2010 года N 17350 (далее - Положение ПКЗ-2005);</w:t>
      </w:r>
    </w:p>
    <w:p w:rsidR="00000000" w:rsidRDefault="00D850BE">
      <w:hyperlink r:id="rId14" w:history="1">
        <w:r>
          <w:rPr>
            <w:rStyle w:val="a4"/>
          </w:rPr>
          <w:t>приказом</w:t>
        </w:r>
      </w:hyperlink>
      <w:r>
        <w:t xml:space="preserve"> Федеральной службы безопасности Российской Федерации о</w:t>
      </w:r>
      <w:r>
        <w:t>т 10 июля 2014 года N 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</w:t>
      </w:r>
      <w:r>
        <w:t>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защищенности", зарегистрированным Министерством юстиции Российской Федерации 18 августа 2014 года N 33</w:t>
      </w:r>
      <w:r>
        <w:t>620.</w:t>
      </w:r>
    </w:p>
    <w:p w:rsidR="00000000" w:rsidRDefault="00D850BE">
      <w:bookmarkStart w:id="7" w:name="sub_4"/>
      <w:r>
        <w:t>4. В случае наличия в технической документации на СКЗИ требований к оценке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</w:t>
      </w:r>
      <w:r>
        <w:t xml:space="preserve">а выполнение предъявляемых к ним требований указанная оценка должна проводиться в соответствии с </w:t>
      </w:r>
      <w:hyperlink r:id="rId15" w:history="1">
        <w:r>
          <w:rPr>
            <w:rStyle w:val="a4"/>
          </w:rPr>
          <w:t>Положением</w:t>
        </w:r>
      </w:hyperlink>
      <w:r>
        <w:t xml:space="preserve"> ПКЗ-2005 по техническому заданию, согласованному с федеральным органом исполнител</w:t>
      </w:r>
      <w:r>
        <w:t>ьной власти в области обеспечения безопасности.</w:t>
      </w:r>
    </w:p>
    <w:bookmarkEnd w:id="7"/>
    <w:p w:rsidR="00000000" w:rsidRDefault="00D850BE">
      <w:r>
        <w:lastRenderedPageBreak/>
        <w:t>В случае если некредитная финансовая организация применяет СКЗИ российского производства, СКЗИ должны иметь сертификаты соответствия федерального органа исполнительной власти в области обеспечения безопа</w:t>
      </w:r>
      <w:r>
        <w:t>сности.</w:t>
      </w:r>
    </w:p>
    <w:p w:rsidR="00000000" w:rsidRDefault="00D850BE">
      <w:r>
        <w:t>Безопасность процессов изготовления криптографических ключей СКЗИ должна обеспечиваться комплексом технологических мер защиты информации, организационных мер защиты информации и технических средств защиты информации в соответствии с технической док</w:t>
      </w:r>
      <w:r>
        <w:t>ументацией на СКЗИ.</w:t>
      </w:r>
    </w:p>
    <w:p w:rsidR="00000000" w:rsidRDefault="00D850BE">
      <w:bookmarkStart w:id="8" w:name="sub_5"/>
      <w:r>
        <w:t>5. Защита информации в отношении автоматизированных систем, программного обеспечения, средств вычислительной техники, телекоммуникационного оборудования, эксплуатация которых осуществляется некредитными финансовыми организациями (д</w:t>
      </w:r>
      <w:r>
        <w:t xml:space="preserve">алее при совместном упоминании - объекты информационной инфраструктуры), должна осуществляться некредитной финансовой организацией в соответствии с требованиями национального стандарта Российской Федерации </w:t>
      </w:r>
      <w:hyperlink r:id="rId16" w:history="1">
        <w:r>
          <w:rPr>
            <w:rStyle w:val="a4"/>
          </w:rPr>
          <w:t>ГОСТ Р 57580.1-2017</w:t>
        </w:r>
      </w:hyperlink>
      <w:r>
        <w:t xml:space="preserve"> "Безопасность финансовых (банковских) операций. Защита информации финансовых организаций. Базовый состав организационных и технических мер", утвержденного </w:t>
      </w:r>
      <w:hyperlink r:id="rId17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8 августа 2017 года N 822-ст "Об утверждении национального стандарта" (М, ФГУП "Стандартинформ", 2017) (далее - ГОСТ Р 57580.1-2017). Требования ГОСТ Р 57580.1-2017 должны при</w:t>
      </w:r>
      <w:r>
        <w:t>меняться по результатам определения некредитной финансовой организацией применимого к ней в течение календарного года уровня защиты информации, предусмотренного ГОСТ Р 57580.1-2017 (далее соответственно - уровень защиты информации, определение уровня защит</w:t>
      </w:r>
      <w:r>
        <w:t>ы информации), с соблюдением следующих требований.</w:t>
      </w:r>
    </w:p>
    <w:p w:rsidR="00000000" w:rsidRDefault="00D850BE">
      <w:bookmarkStart w:id="9" w:name="sub_51"/>
      <w:bookmarkEnd w:id="8"/>
      <w:r>
        <w:t>5.1. Определение уровня защиты информации должно осуществляться некредитной финансовой организацией ежегодно не позднее первого рабочего дня календарного года определения уровня защиты информаци</w:t>
      </w:r>
      <w:r>
        <w:t>и (далее - дата определения уровня защиты информации).</w:t>
      </w:r>
    </w:p>
    <w:p w:rsidR="00000000" w:rsidRDefault="00D850BE">
      <w:bookmarkStart w:id="10" w:name="sub_52"/>
      <w:bookmarkEnd w:id="9"/>
      <w:r>
        <w:t xml:space="preserve">5.2. Требования </w:t>
      </w:r>
      <w:hyperlink r:id="rId18" w:history="1">
        <w:r>
          <w:rPr>
            <w:rStyle w:val="a4"/>
          </w:rPr>
          <w:t>ГОСТ Р 57580.1-2017</w:t>
        </w:r>
      </w:hyperlink>
      <w:r>
        <w:t>, соответствующие усиленному уровню защиты информации, должны соблюдать центральные кон</w:t>
      </w:r>
      <w:r>
        <w:t>трагенты, центральный депозитарий (далее - некредитные финансовые организации, реализующие усиленный уровень защиты информации).</w:t>
      </w:r>
    </w:p>
    <w:p w:rsidR="00000000" w:rsidRDefault="00D850BE">
      <w:bookmarkStart w:id="11" w:name="sub_53"/>
      <w:bookmarkEnd w:id="10"/>
      <w:r>
        <w:t xml:space="preserve">5.3. Требования </w:t>
      </w:r>
      <w:hyperlink r:id="rId19" w:history="1">
        <w:r>
          <w:rPr>
            <w:rStyle w:val="a4"/>
          </w:rPr>
          <w:t>ГОСТ Р 57580.1-2017</w:t>
        </w:r>
      </w:hyperlink>
      <w:r>
        <w:t>, соответству</w:t>
      </w:r>
      <w:r>
        <w:t>ющие стандартному уровню защиты информации, должны соблюдать следующие некредитные финансовые организации (далее - некредитные финансовые организации, реализующие стандартный уровень защиты информации):</w:t>
      </w:r>
    </w:p>
    <w:bookmarkEnd w:id="11"/>
    <w:p w:rsidR="00000000" w:rsidRDefault="00D850BE">
      <w:r>
        <w:t>специализированные депозитарии инвестиционных ф</w:t>
      </w:r>
      <w:r>
        <w:t>ондов, паевых инвестиционных фондов и негосударственных пенсионных фондов;</w:t>
      </w:r>
    </w:p>
    <w:p w:rsidR="00000000" w:rsidRDefault="00D850BE">
      <w:r>
        <w:t>клиринговые организации;</w:t>
      </w:r>
    </w:p>
    <w:p w:rsidR="00000000" w:rsidRDefault="00D850BE">
      <w:r>
        <w:t>организаторы торговли;</w:t>
      </w:r>
    </w:p>
    <w:p w:rsidR="00000000" w:rsidRDefault="00D850BE">
      <w:r>
        <w:t>страховые организации, стоимость активов которых в течение последних шести календарных месяцев подряд по состоянию на 31 декабря года</w:t>
      </w:r>
      <w:r>
        <w:t>, предшествующего дате определения уровня защиты информации, превышала 20 миллиардов рублей;</w:t>
      </w:r>
    </w:p>
    <w:p w:rsidR="00000000" w:rsidRDefault="00D850BE">
      <w:r>
        <w:t>негосударственные пенсионные фонды, осуществляющие деятельность по обязательному пенсионному страхованию;</w:t>
      </w:r>
    </w:p>
    <w:p w:rsidR="00000000" w:rsidRDefault="00D850BE">
      <w:r>
        <w:t xml:space="preserve">негосударственные пенсионные фонды, осуществляющие деятельность по негосударственному пенсионному обеспечению, размер средств пенсионных резервов которых в течение последних шести календарных месяцев подряд по состоянию на 31 декабря года, предшествующего </w:t>
      </w:r>
      <w:r>
        <w:t>дате определения уровня защиты информации, превышал 10 миллиардов рублей;</w:t>
      </w:r>
    </w:p>
    <w:p w:rsidR="00000000" w:rsidRDefault="00D850BE">
      <w:r>
        <w:t>репозитарии;</w:t>
      </w:r>
    </w:p>
    <w:p w:rsidR="00000000" w:rsidRDefault="00D850BE">
      <w:r>
        <w:t>брокеры, которые в течение трех последних кварталов по состоянию на 31 декабря года, предшествующего дате определения уровня защиты информации, заключили сделки купли-пр</w:t>
      </w:r>
      <w:r>
        <w:t>одажи ценных бумаг за счет своих клиентов при осуществлении брокерской деятельности в объеме более 100 000 миллионов рублей в квартал и (или) которые в течение трех последних кварталов по состоянию 31 декабря года, предшествующего дате определения уровня з</w:t>
      </w:r>
      <w:r>
        <w:t xml:space="preserve">ащиты </w:t>
      </w:r>
      <w:r>
        <w:lastRenderedPageBreak/>
        <w:t>информации, осуществляли брокерское обслуживание более чем 100 000 лиц;</w:t>
      </w:r>
    </w:p>
    <w:p w:rsidR="00000000" w:rsidRDefault="00D850BE">
      <w:r>
        <w:t>дилеры, которые в течение последних трех кварталов по состоянию на 31 декабря года, предшествующего дате определения уровня защиты информации, заключали за свой счет на организов</w:t>
      </w:r>
      <w:r>
        <w:t>анных торгах сделки купли-продажи ценных бумаг в объеме более 200 000 миллионов рублей в квартал;</w:t>
      </w:r>
    </w:p>
    <w:p w:rsidR="00000000" w:rsidRDefault="00D850BE">
      <w:r>
        <w:t>депозитарии (в том числе расчетные депозитарии), осуществившие в течение трех последних кварталов по состоянию на 31 декабря года, предшествующего дате опреде</w:t>
      </w:r>
      <w:r>
        <w:t xml:space="preserve">ления уровня защиты информации, учет ценных бумаг на счетах, предусмотренных </w:t>
      </w:r>
      <w:hyperlink r:id="rId20" w:history="1">
        <w:r>
          <w:rPr>
            <w:rStyle w:val="a4"/>
          </w:rPr>
          <w:t>пунктом 2.1</w:t>
        </w:r>
      </w:hyperlink>
      <w:r>
        <w:t xml:space="preserve"> и </w:t>
      </w:r>
      <w:hyperlink r:id="rId21" w:history="1">
        <w:r>
          <w:rPr>
            <w:rStyle w:val="a4"/>
          </w:rPr>
          <w:t xml:space="preserve">абзацами вторым - пятым пункта </w:t>
        </w:r>
        <w:r>
          <w:rPr>
            <w:rStyle w:val="a4"/>
          </w:rPr>
          <w:t>2.2</w:t>
        </w:r>
      </w:hyperlink>
      <w:r>
        <w:t xml:space="preserve"> Положения Банка России от 13 ноября 2015 года N 503-П "О порядке открытия и ведения депозитариями счетов депо и иных счетов", зарегистрированного Министерством юстиции Российской Федерации 16 декабря 2015 года N 40137, открытых в депозитарии, стоимо</w:t>
      </w:r>
      <w:r>
        <w:t>сть которых превышала 500 000 миллионов рублей;</w:t>
      </w:r>
    </w:p>
    <w:p w:rsidR="00000000" w:rsidRDefault="00D850BE">
      <w:r>
        <w:t>регистраторы, которые в течение трех последних кварталов по состоянию на 31 декабря года, предшествующего дате определения уровня защиты информации, открыли лицевые счета в реестрах владельцев эмиссионных цен</w:t>
      </w:r>
      <w:r>
        <w:t>ных бумаг, инвестиционных паев паевых инвестиционных фондов, ипотечных сертификатов участия более чем 1 000 000 лиц;</w:t>
      </w:r>
    </w:p>
    <w:p w:rsidR="00000000" w:rsidRDefault="00D850BE">
      <w:r>
        <w:t>управляющие, которые в течение трех последних кварталов по состоянию на 31 декабря года, предшествующего дате определения уровня защиты инф</w:t>
      </w:r>
      <w:r>
        <w:t>ормации, заключали сделки купли-продажи ценных бумаг при осуществлении деятельности по управлению ценными бумагами в объеме более 20 000 миллионов рублей в квартал и (или) которые в течение трех последних кварталов по состоянию на 31 декабря года, предшест</w:t>
      </w:r>
      <w:r>
        <w:t>вующего дате определения уровня защиты информации, осуществляли доверительное управление ценными бумагами и денежными средствами более чем 2 000 лиц, с которыми заключены договоры доверительного управления.</w:t>
      </w:r>
    </w:p>
    <w:p w:rsidR="00000000" w:rsidRDefault="00D850BE">
      <w:bookmarkStart w:id="12" w:name="sub_54"/>
      <w:r>
        <w:t>5.4. Некредитные финансовые организации, ре</w:t>
      </w:r>
      <w:r>
        <w:t xml:space="preserve">ализующие усиленный уровень защиты информации, и некредитные финансовые организации, реализующие стандартный уровень защиты информации (далее при совместном упоминании - некредитные финансовые организации, реализующие усиленный и стандартный уровни защиты </w:t>
      </w:r>
      <w:r>
        <w:t>информации), должны осуществлять тестирование объектов информационной инфраструктуры на предмет проникновений и анализ уязвимостей информационной безопасности объектов информационной инфраструктуры.</w:t>
      </w:r>
    </w:p>
    <w:p w:rsidR="00000000" w:rsidRDefault="00D850BE">
      <w:bookmarkStart w:id="13" w:name="sub_6"/>
      <w:bookmarkEnd w:id="12"/>
      <w:r>
        <w:t>6. Некредитные финансовые организации, реализу</w:t>
      </w:r>
      <w:r>
        <w:t xml:space="preserve">ющие усиленный и стандартный уровни защиты информации, должны обеспечивать проведение оценки соответствия определенного ими уровня защиты информации требованиям, предусмотренным </w:t>
      </w:r>
      <w:hyperlink w:anchor="sub_5" w:history="1">
        <w:r>
          <w:rPr>
            <w:rStyle w:val="a4"/>
          </w:rPr>
          <w:t>пунктом 5</w:t>
        </w:r>
      </w:hyperlink>
      <w:r>
        <w:t xml:space="preserve"> настоящего Положения (далее - оценка определе</w:t>
      </w:r>
      <w:r>
        <w:t>нного уровня защиты информации), с соблюдением следующих требований.</w:t>
      </w:r>
    </w:p>
    <w:p w:rsidR="00000000" w:rsidRDefault="00D850BE">
      <w:bookmarkStart w:id="14" w:name="sub_61"/>
      <w:bookmarkEnd w:id="13"/>
      <w:r>
        <w:t xml:space="preserve">6.1. Оценка определенного уровня защиты информации должна осуществляться с привлечением сторонних организаций, имеющих лицензию на проведение работ и услуг, предусмотренных </w:t>
      </w:r>
      <w:hyperlink r:id="rId22" w:history="1">
        <w:r>
          <w:rPr>
            <w:rStyle w:val="a4"/>
          </w:rPr>
          <w:t>подпунктами "б"</w:t>
        </w:r>
      </w:hyperlink>
      <w:r>
        <w:t xml:space="preserve">, </w:t>
      </w:r>
      <w:hyperlink r:id="rId23" w:history="1">
        <w:r>
          <w:rPr>
            <w:rStyle w:val="a4"/>
          </w:rPr>
          <w:t>"д"</w:t>
        </w:r>
      </w:hyperlink>
      <w:r>
        <w:t xml:space="preserve"> или </w:t>
      </w:r>
      <w:hyperlink r:id="rId24" w:history="1">
        <w:r>
          <w:rPr>
            <w:rStyle w:val="a4"/>
          </w:rPr>
          <w:t>"е" пункта 4</w:t>
        </w:r>
      </w:hyperlink>
      <w:r>
        <w:t xml:space="preserve"> Положения о</w:t>
      </w:r>
      <w:r>
        <w:t xml:space="preserve"> лицензировании деятельности по технической защите конфиденциальной информации, утвержденного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февраля 2012 года N 79 "О лицензировании деятельности по технической защите конфиденциальной информации" (Собрание законодательства Российской Федерации, 2012, N 7, ст. 863; 2016, N 26, ст. 4049) (далее - проверяюща</w:t>
      </w:r>
      <w:r>
        <w:t>я организация).</w:t>
      </w:r>
    </w:p>
    <w:p w:rsidR="00000000" w:rsidRDefault="00D850BE">
      <w:bookmarkStart w:id="15" w:name="sub_62"/>
      <w:bookmarkEnd w:id="14"/>
      <w:r>
        <w:t xml:space="preserve">6.2. Оценка определенного уровня защиты информации должна осуществляться в соответствии с требованиями национального стандарта Российской Федерации </w:t>
      </w:r>
      <w:hyperlink r:id="rId26" w:history="1">
        <w:r>
          <w:rPr>
            <w:rStyle w:val="a4"/>
          </w:rPr>
          <w:t>ГОСТ Р 57580.2-2</w:t>
        </w:r>
        <w:r>
          <w:rPr>
            <w:rStyle w:val="a4"/>
          </w:rPr>
          <w:t>018</w:t>
        </w:r>
      </w:hyperlink>
      <w:r>
        <w:t xml:space="preserve"> "Безопасность финансовых (банковских) операций. Защита информации финансовых организаций. Методика оценки соответствия", утвержденного </w:t>
      </w:r>
      <w:hyperlink r:id="rId27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</w:t>
      </w:r>
      <w:r>
        <w:t xml:space="preserve"> регулированию и метрологии от 28 марта 2018 года N 156-ст "Об утверждении национального стандарта Российской Федерации" (М., ФГУП "Стандартинформ", 2018) (далее - ГОСТ Р 57580.2-2018).</w:t>
      </w:r>
    </w:p>
    <w:p w:rsidR="00000000" w:rsidRDefault="00D850BE">
      <w:bookmarkStart w:id="16" w:name="sub_63"/>
      <w:bookmarkEnd w:id="15"/>
      <w:r>
        <w:t xml:space="preserve">6.3. Оценка определенного уровня защиты информации должна </w:t>
      </w:r>
      <w:r>
        <w:t xml:space="preserve">осуществляться </w:t>
      </w:r>
      <w:r>
        <w:lastRenderedPageBreak/>
        <w:t>некредитными финансовыми организациями, реализующими усиленный уровень защиты информации, не реже одного раза в год, некредитными финансовыми организациями, реализующими стандартный уровень защиты информации, - не реже одного раза в три года</w:t>
      </w:r>
      <w:r>
        <w:t>.</w:t>
      </w:r>
    </w:p>
    <w:p w:rsidR="00000000" w:rsidRDefault="00D850BE">
      <w:bookmarkStart w:id="17" w:name="sub_7"/>
      <w:bookmarkEnd w:id="16"/>
      <w:r>
        <w:t>7. Некредитные финансовые организации, реализующие усиленный и стандартный уровни защиты информации, должны обеспечивать хранение отчета, составленного проверяющей организацией по результатам оценки определенного уровня защиты информации, в те</w:t>
      </w:r>
      <w:r>
        <w:t>чение не менее чем пяти лет с даты его выдачи проверяющей организацией.</w:t>
      </w:r>
    </w:p>
    <w:p w:rsidR="00000000" w:rsidRDefault="00D850BE">
      <w:bookmarkStart w:id="18" w:name="sub_8"/>
      <w:bookmarkEnd w:id="17"/>
      <w:r>
        <w:t>8. Некредитные финансовые организации, реализующие усиленный и стандартный уровни защиты информации, должны обеспечить уровень соответствия не ниже третьего уровня соответств</w:t>
      </w:r>
      <w:r>
        <w:t xml:space="preserve">ия, предусмотренного </w:t>
      </w:r>
      <w:hyperlink r:id="rId28" w:history="1">
        <w:r>
          <w:rPr>
            <w:rStyle w:val="a4"/>
          </w:rPr>
          <w:t>подпунктом "г" пункта 6.9</w:t>
        </w:r>
      </w:hyperlink>
      <w:r>
        <w:t xml:space="preserve"> ГОСТ Р 57580.2-2018.</w:t>
      </w:r>
    </w:p>
    <w:p w:rsidR="00000000" w:rsidRDefault="00D850BE">
      <w:bookmarkStart w:id="19" w:name="sub_802"/>
      <w:bookmarkEnd w:id="18"/>
      <w:r>
        <w:t>Некредитные финансовые организации, реализующие усиленный и стандартный уровни защиты информации, должны о</w:t>
      </w:r>
      <w:r>
        <w:t xml:space="preserve">беспечить уровень соответствия не ниже четвертого уровня соответствия, предусмотренного </w:t>
      </w:r>
      <w:hyperlink r:id="rId29" w:history="1">
        <w:r>
          <w:rPr>
            <w:rStyle w:val="a4"/>
          </w:rPr>
          <w:t>подпунктом "д" пункта 6.9</w:t>
        </w:r>
      </w:hyperlink>
      <w:r>
        <w:t xml:space="preserve"> ГОСТ Р 57580.2-2018.</w:t>
      </w:r>
    </w:p>
    <w:p w:rsidR="00000000" w:rsidRDefault="00D850BE">
      <w:bookmarkStart w:id="20" w:name="sub_9"/>
      <w:bookmarkEnd w:id="19"/>
      <w:r>
        <w:t xml:space="preserve">9. Некредитные финансовые организации, </w:t>
      </w:r>
      <w:r>
        <w:t>реализующие усиленный и стандартный уровни защиты информации, должны обеспечить использование для осуществления финансовых операций прикладного программного обеспечения автоматизированных систем и приложений, распространяемых некредитной финансовой организ</w:t>
      </w:r>
      <w:r>
        <w:t>ацией своим клиентам для совершения действий в целях осуществления финансовых операций, а также программного обеспечения, обрабатывающего защищаемую информацию при приеме электронных сообщений к исполнению в автоматизированных системах и приложениях с испо</w:t>
      </w:r>
      <w:r>
        <w:t xml:space="preserve">льзованием информационно-телекоммуникационной сети "Интернет" (далее - сеть "Интернет"), сертифицированных в системе сертификации Федеральной службы по техническому и экспортному контролю на соответствие требованиям по безопасности информации, в том числе </w:t>
      </w:r>
      <w:r>
        <w:t xml:space="preserve">на наличие уязвимостей или недекларированных возможностей (далее - сертификация), или в отношении которых проведен анализ уязвимостей по требованиям к оценочному уровню доверия (далее - ОУД) не ниже чем ОУД 4, предусмотренного </w:t>
      </w:r>
      <w:hyperlink r:id="rId30" w:history="1">
        <w:r>
          <w:rPr>
            <w:rStyle w:val="a4"/>
          </w:rPr>
          <w:t>пунктом 7.6</w:t>
        </w:r>
      </w:hyperlink>
      <w:r>
        <w:t xml:space="preserve"> национального стандарта Российской Федерации ГОСТ Р ИСО/МЭК 15408-3-2013 "Информационная технология. Методы и средства обеспечения безопасности. Критерии оценки безопасности информационных технологий. Час</w:t>
      </w:r>
      <w:r>
        <w:t xml:space="preserve">ть 3. Компоненты доверия к безопасности", утвержденного </w:t>
      </w:r>
      <w:hyperlink r:id="rId31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8 ноября 2013 года N 1340-ст "Об утверждении национальн</w:t>
      </w:r>
      <w:r>
        <w:t>ого стандарта" (М., ФГУП "Стандартинформ", 2014) (далее - анализ уязвимостей).</w:t>
      </w:r>
    </w:p>
    <w:bookmarkEnd w:id="20"/>
    <w:p w:rsidR="00000000" w:rsidRDefault="00D850BE">
      <w:r>
        <w:t xml:space="preserve">Некредитные финансовые организации, не указанные в </w:t>
      </w:r>
      <w:hyperlink w:anchor="sub_9" w:history="1">
        <w:r>
          <w:rPr>
            <w:rStyle w:val="a4"/>
          </w:rPr>
          <w:t>абзаце первом</w:t>
        </w:r>
      </w:hyperlink>
      <w:r>
        <w:t xml:space="preserve"> настоящего пункта, должны самостоятельно определять необходимость сертификации или а</w:t>
      </w:r>
      <w:r>
        <w:t>нализа уязвимостей.</w:t>
      </w:r>
    </w:p>
    <w:p w:rsidR="00000000" w:rsidRDefault="00D850BE">
      <w:r>
        <w:t xml:space="preserve">В отношении программного обеспечения и приложений, не указанных в </w:t>
      </w:r>
      <w:hyperlink w:anchor="sub_9" w:history="1">
        <w:r>
          <w:rPr>
            <w:rStyle w:val="a4"/>
          </w:rPr>
          <w:t>абзаце первом</w:t>
        </w:r>
      </w:hyperlink>
      <w:r>
        <w:t xml:space="preserve"> настоящего подпункта, некредитные финансовые организации должны самостоятельно определять необходимость сертификации или анализа уязв</w:t>
      </w:r>
      <w:r>
        <w:t>имостей.</w:t>
      </w:r>
    </w:p>
    <w:p w:rsidR="00000000" w:rsidRDefault="00D850BE">
      <w:r>
        <w:t>По решению некредитной финансовой организации анализ уязвимостей в прикладном программном обеспечении автоматизированных систем и приложений проводится самостоятельно или с привлечением проверяющей организации.</w:t>
      </w:r>
    </w:p>
    <w:p w:rsidR="00000000" w:rsidRDefault="00D850BE">
      <w:bookmarkStart w:id="21" w:name="sub_10"/>
      <w:r>
        <w:t>10. Некредитные финансовые орг</w:t>
      </w:r>
      <w:r>
        <w:t>анизации, реализующие усиленный и стандартный уровни защиты информации, должны обеспечивать подписание электронных сообщений способом, позволяющим обеспечить их целостность и подтвердить их составление уполномоченным на это лицом.</w:t>
      </w:r>
    </w:p>
    <w:bookmarkEnd w:id="21"/>
    <w:p w:rsidR="00000000" w:rsidRDefault="00D850BE">
      <w:r>
        <w:t>Признание электронн</w:t>
      </w:r>
      <w:r>
        <w:t xml:space="preserve">ых сообщений, подписанных электронной подписью, равнозначными документам на бумажном носителе, подписанным собственноручной подписью, должно осуществляться в соответствии со </w:t>
      </w:r>
      <w:hyperlink r:id="rId32" w:history="1">
        <w:r>
          <w:rPr>
            <w:rStyle w:val="a4"/>
          </w:rPr>
          <w:t>статьей 6</w:t>
        </w:r>
      </w:hyperlink>
      <w:r>
        <w:t xml:space="preserve"> Федер</w:t>
      </w:r>
      <w:r>
        <w:t>ального закона "Об электронной подписи".</w:t>
      </w:r>
    </w:p>
    <w:p w:rsidR="00000000" w:rsidRDefault="00D850BE">
      <w:bookmarkStart w:id="22" w:name="sub_11"/>
      <w:r>
        <w:t>11. Некредитные финансовые организации, реализующие усиленный и стандартный уровни защиты информации, должны обеспечивать регламентацию, реализацию, контроль (мониторинг) технологии безопасной обработки защища</w:t>
      </w:r>
      <w:r>
        <w:t xml:space="preserve">емой информации, указанной в </w:t>
      </w:r>
      <w:hyperlink w:anchor="sub_102" w:history="1">
        <w:r>
          <w:rPr>
            <w:rStyle w:val="a4"/>
          </w:rPr>
          <w:t>абзацах втором - четвертом пункта 1</w:t>
        </w:r>
      </w:hyperlink>
      <w:r>
        <w:t xml:space="preserve"> настоящего Положения, в рамках идентификации, аутентификации и </w:t>
      </w:r>
      <w:r>
        <w:lastRenderedPageBreak/>
        <w:t>авторизации своих клиентов при совершении действий в целях осуществления финансовых операций, формирова</w:t>
      </w:r>
      <w:r>
        <w:t>нии (подготовке), передаче и приеме электронных сообщений, удостоверении права клиентов распоряжаться денежными средствами, ценными бумагами или иным имуществом, осуществлении финансовой операции, учете результатов ее осуществления, хранении электронных со</w:t>
      </w:r>
      <w:r>
        <w:t>общений и информации об осуществленных финансовых операциях (далее при совместном упоминании - технологические участки) на основе анализа рисков с соблюдением следующих требований.</w:t>
      </w:r>
    </w:p>
    <w:p w:rsidR="00000000" w:rsidRDefault="00D850BE">
      <w:bookmarkStart w:id="23" w:name="sub_111"/>
      <w:bookmarkEnd w:id="22"/>
      <w:r>
        <w:t xml:space="preserve">11.1. Технология обработки защищаемой информации, применяемая </w:t>
      </w:r>
      <w:r>
        <w:t>на всех технологических участках, должна обеспечивать целостность и неизменность защищаемой информации.</w:t>
      </w:r>
    </w:p>
    <w:p w:rsidR="00000000" w:rsidRDefault="00D850BE">
      <w:bookmarkStart w:id="24" w:name="sub_112"/>
      <w:bookmarkEnd w:id="23"/>
      <w:r>
        <w:t>11.2. Технология обработки защищаемой информации, применяемая при формировании (подготовке), передаче и приеме электронных сообщений, долж</w:t>
      </w:r>
      <w:r>
        <w:t>на обеспечивать следующие мероприятия:</w:t>
      </w:r>
    </w:p>
    <w:bookmarkEnd w:id="24"/>
    <w:p w:rsidR="00000000" w:rsidRDefault="00D850BE">
      <w:r>
        <w:t>проверку правильности формирования (подготовки) электронных сообщений (двойной контроль);</w:t>
      </w:r>
    </w:p>
    <w:p w:rsidR="00000000" w:rsidRDefault="00D850BE">
      <w:r>
        <w:t>проверку правильности заполнения полей электронного сообщения и прав владельца электронной подписи (входной контроль);</w:t>
      </w:r>
    </w:p>
    <w:p w:rsidR="00000000" w:rsidRDefault="00D850BE">
      <w:r>
        <w:t>к</w:t>
      </w:r>
      <w:r>
        <w:t>онтроль дублирования электронного сообщения;</w:t>
      </w:r>
    </w:p>
    <w:p w:rsidR="00000000" w:rsidRDefault="00D850BE">
      <w:r>
        <w:t>структурный контроль электронных сообщений;</w:t>
      </w:r>
    </w:p>
    <w:p w:rsidR="00000000" w:rsidRDefault="00D850BE">
      <w:r>
        <w:t>защиту защищаемой информации при ее передаче по каналам связи.</w:t>
      </w:r>
    </w:p>
    <w:p w:rsidR="00000000" w:rsidRDefault="00D850BE">
      <w:bookmarkStart w:id="25" w:name="sub_113"/>
      <w:r>
        <w:t xml:space="preserve">11.3. Технология обработки </w:t>
      </w:r>
      <w:r>
        <w:t>защищаемой информации, применяемая при удостоверении права клиентов некредитных финансовых организаций распоряжаться денежными средствами, ценными бумагами или иным имуществом, должна обеспечивать выполнение следующих мероприятий:</w:t>
      </w:r>
    </w:p>
    <w:bookmarkEnd w:id="25"/>
    <w:p w:rsidR="00000000" w:rsidRDefault="00D850BE">
      <w:r>
        <w:t>получение электрон</w:t>
      </w:r>
      <w:r>
        <w:t xml:space="preserve">ных сообщений клиента, подписанных клиентом способом, указанным в </w:t>
      </w:r>
      <w:hyperlink w:anchor="sub_10" w:history="1">
        <w:r>
          <w:rPr>
            <w:rStyle w:val="a4"/>
          </w:rPr>
          <w:t>пункте 10</w:t>
        </w:r>
      </w:hyperlink>
      <w:r>
        <w:t xml:space="preserve"> настоящего Положения;</w:t>
      </w:r>
    </w:p>
    <w:p w:rsidR="00000000" w:rsidRDefault="00D850BE">
      <w:r>
        <w:t>получение от клиента подтверждения совершенной финансовой операции.</w:t>
      </w:r>
    </w:p>
    <w:p w:rsidR="00000000" w:rsidRDefault="00D850BE">
      <w:bookmarkStart w:id="26" w:name="sub_114"/>
      <w:r>
        <w:t>11.4. Технология обработки защищаемой информации, применяем</w:t>
      </w:r>
      <w:r>
        <w:t>ая при осуществлении финансовой операции, учете результатов ее осуществления (при наличии учета), должна обеспечивать выполнение следующих мероприятий:</w:t>
      </w:r>
    </w:p>
    <w:bookmarkEnd w:id="26"/>
    <w:p w:rsidR="00000000" w:rsidRDefault="00D850BE">
      <w:r>
        <w:t>проверку соответствия (сверку) выходных электронных сообщений соответствующим входным электронным</w:t>
      </w:r>
      <w:r>
        <w:t xml:space="preserve"> сообщениям;</w:t>
      </w:r>
    </w:p>
    <w:p w:rsidR="00000000" w:rsidRDefault="00D850BE">
      <w:r>
        <w:t>проверку соответствия (сверку) результатов осуществления финансовых операций информации, содержащейся в электронных сообщениях;</w:t>
      </w:r>
    </w:p>
    <w:p w:rsidR="00000000" w:rsidRDefault="00D850BE">
      <w:r>
        <w:t xml:space="preserve">направление клиентам некредитных финансовых организаций уведомлений об осуществлении финансовых операций в случае, </w:t>
      </w:r>
      <w:r>
        <w:t>когда такое уведомление предусмотрено законодательством Российской Федерации, регулирующим деятельность некредитных финансовых организаций, или договором.</w:t>
      </w:r>
    </w:p>
    <w:p w:rsidR="00000000" w:rsidRDefault="00D850BE">
      <w:bookmarkStart w:id="27" w:name="sub_12"/>
      <w:r>
        <w:t>12. Некредитные финансовые организации, реализующие усиленный и стандартный уровни защиты инфор</w:t>
      </w:r>
      <w:r>
        <w:t>мации, должны обеспечивать регистрацию результатов выполнения действий, связанных с осуществлением доступа к защищаемой информации, на всех технологических участках, включая регистрацию действий своих работников и клиентов, выполняемых с использованием авт</w:t>
      </w:r>
      <w:r>
        <w:t>оматизированных систем, программного обеспечения, с соблюдением следующих требований.</w:t>
      </w:r>
    </w:p>
    <w:bookmarkEnd w:id="27"/>
    <w:p w:rsidR="00000000" w:rsidRDefault="00D850BE">
      <w:r>
        <w:t>Некредитные финансовые организации, реализующие усиленный и стандартный уровни защиты информации, должны регистрировать следующую информацию о действиях своих работ</w:t>
      </w:r>
      <w:r>
        <w:t>ников и клиентов, выполняемых с использованием автоматизированных систем, программного обеспечения:</w:t>
      </w:r>
    </w:p>
    <w:p w:rsidR="00000000" w:rsidRDefault="00D850BE">
      <w:r>
        <w:t>дату (день, месяц, год) и время (часы, минуты, секунды) осуществления финансовой операции, а для клиентов - совершение действий в целях осуществления финанс</w:t>
      </w:r>
      <w:r>
        <w:t>овой операции;</w:t>
      </w:r>
    </w:p>
    <w:p w:rsidR="00000000" w:rsidRDefault="00D850BE">
      <w:r>
        <w:lastRenderedPageBreak/>
        <w:t>присвоенный работнику (клиенту) идентификатор, позволяющий идентифицировать работника (клиента) в автоматизированной системе, программном обеспечении;</w:t>
      </w:r>
    </w:p>
    <w:p w:rsidR="00000000" w:rsidRDefault="00D850BE">
      <w:r>
        <w:t>код, соответствующий технологическому участку;</w:t>
      </w:r>
    </w:p>
    <w:p w:rsidR="00000000" w:rsidRDefault="00D850BE">
      <w:r>
        <w:t>результат осуществления финансовой операции</w:t>
      </w:r>
      <w:r>
        <w:t xml:space="preserve"> - для работника, совершение действий в целях осуществления финансовой операции - для клиента;</w:t>
      </w:r>
    </w:p>
    <w:p w:rsidR="00000000" w:rsidRDefault="00D850BE">
      <w:r>
        <w:t xml:space="preserve">идентификационную информацию, используемую для идентификации устройства, с использованием которого осуществлен доступ к автоматизированной системе, программному </w:t>
      </w:r>
      <w:r>
        <w:t>обеспечению с целью осуществления финансовых операций: для работников (клиентов) - сетевой адрес компьютера и (или) коммуникационного устройства (маршрутизатора) работника (клиента); для клиентов - международный идентификатор абонента-клиента (индивидуальн</w:t>
      </w:r>
      <w:r>
        <w:t>ый номер абонента клиента - физического лица), международный идентификатор пользовательского оборудования (оконечного оборудования) клиента - физического лица, номер телефона и (или) иной идентификатор устройства клиента.</w:t>
      </w:r>
    </w:p>
    <w:p w:rsidR="00000000" w:rsidRDefault="00D850BE">
      <w:bookmarkStart w:id="28" w:name="sub_13"/>
      <w:r>
        <w:t>13. Некредитные финансовые о</w:t>
      </w:r>
      <w:r>
        <w:t>рганизации, реализующие усиленный и стандартный уровни защиты информации, должны осуществлять регистрацию инцидентов, связанных с нарушениями требований к обеспечению защиты информации при осуществлении деятельности в сфере финансовых рынков (далее - инцид</w:t>
      </w:r>
      <w:r>
        <w:t>енты защиты информации), а также представлять сведения о выявленных инцидентах защиты информации должностному лицу (отдельному структурному подразделению), ответственному за управление рисками, при наличии указанного должностного лица (отдельного структурн</w:t>
      </w:r>
      <w:r>
        <w:t>ого подразделения) в соответствии с внутренними документами указанных некредитных финансовых организаций при соблюдении следующих требований.</w:t>
      </w:r>
    </w:p>
    <w:p w:rsidR="00000000" w:rsidRDefault="00D850BE">
      <w:bookmarkStart w:id="29" w:name="sub_131"/>
      <w:bookmarkEnd w:id="28"/>
      <w:r>
        <w:t>13.1. Некредитные финансовые организации, реализующие усиленный и стандартный уровни защиты информаци</w:t>
      </w:r>
      <w:r>
        <w:t>и, к инцидентам защиты информации должны относить события, которые привели или могут по оценке указанных некредитных финансовых организаций привести к осуществлению финансовых операций без согласия клиента некредитной финансовой организации, неоказанию усл</w:t>
      </w:r>
      <w:r>
        <w:t>уг, связанных с осуществлением финансовых операций, в том числе события, включенные в перечень типов инцидентов, согласованный с федеральным органом исполнительной власти, уполномоченным в области обеспечения безопасности, и размещаемый Банком России на св</w:t>
      </w:r>
      <w:r>
        <w:t xml:space="preserve">оем </w:t>
      </w:r>
      <w:hyperlink r:id="rId33" w:history="1">
        <w:r>
          <w:rPr>
            <w:rStyle w:val="a4"/>
          </w:rPr>
          <w:t>официальном сайте</w:t>
        </w:r>
      </w:hyperlink>
      <w:r>
        <w:t xml:space="preserve"> в сети "Интернет" (далее - перечень типов инцидентов).</w:t>
      </w:r>
    </w:p>
    <w:p w:rsidR="00000000" w:rsidRDefault="00D850BE">
      <w:bookmarkStart w:id="30" w:name="sub_132"/>
      <w:bookmarkEnd w:id="29"/>
      <w:r>
        <w:t>13.2. По каждому инциденту защиты информации некредитные финансовые организации, реализующие усиле</w:t>
      </w:r>
      <w:r>
        <w:t>нный и стандартный уровни защиты информации, должны осуществлять регистрацию следующей информации:</w:t>
      </w:r>
    </w:p>
    <w:bookmarkEnd w:id="30"/>
    <w:p w:rsidR="00000000" w:rsidRDefault="00D850BE">
      <w:r>
        <w:t>защищаемой информации на технологических участках, на которых произошел несанкционированный доступ к защищаемой информации;</w:t>
      </w:r>
    </w:p>
    <w:p w:rsidR="00000000" w:rsidRDefault="00D850BE">
      <w:r>
        <w:t>результата реагирования на</w:t>
      </w:r>
      <w:r>
        <w:t xml:space="preserve"> инцидент защиты информации, в том числе совершенных действий по возврату денежных средств, ценных бумаг и иного имущества клиента некредитной финансовой организации.</w:t>
      </w:r>
    </w:p>
    <w:p w:rsidR="00000000" w:rsidRDefault="00D850BE">
      <w:bookmarkStart w:id="31" w:name="sub_14"/>
      <w:r>
        <w:t xml:space="preserve">14. Некредитные финансовые организации, реализующие усиленный и стандартный уровни </w:t>
      </w:r>
      <w:r>
        <w:t>защиты информации, должны обеспечивать:</w:t>
      </w:r>
    </w:p>
    <w:bookmarkEnd w:id="31"/>
    <w:p w:rsidR="00000000" w:rsidRDefault="00D850BE">
      <w:r>
        <w:t xml:space="preserve">хранение информации, указанной в </w:t>
      </w:r>
      <w:hyperlink w:anchor="sub_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4" w:history="1">
        <w:r>
          <w:rPr>
            <w:rStyle w:val="a4"/>
          </w:rPr>
          <w:t>четвертом пункта 1</w:t>
        </w:r>
      </w:hyperlink>
      <w:r>
        <w:t xml:space="preserve"> настоящего Положения, информации о регистрации данных, указанных в </w:t>
      </w:r>
      <w:hyperlink w:anchor="sub_12" w:history="1">
        <w:r>
          <w:rPr>
            <w:rStyle w:val="a4"/>
          </w:rPr>
          <w:t>пун</w:t>
        </w:r>
        <w:r>
          <w:rPr>
            <w:rStyle w:val="a4"/>
          </w:rPr>
          <w:t>кте 12</w:t>
        </w:r>
      </w:hyperlink>
      <w:r>
        <w:t xml:space="preserve"> настоящего Положения, и информации об инцидентах защиты информации;</w:t>
      </w:r>
    </w:p>
    <w:p w:rsidR="00000000" w:rsidRDefault="00D850BE">
      <w:r>
        <w:t xml:space="preserve">целостность и доступность информации, указанной в </w:t>
      </w:r>
      <w:hyperlink w:anchor="sub_14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не менее чем пяти лет с даты ее формирования некредитной фина</w:t>
      </w:r>
      <w:r>
        <w:t>нсовой организацией (даты поступления в некредитную финансовую организацию), а в случае если законодательством Российской Федерации, регулирующим деятельность некредитных финансовых организаций, установлен иной срок - на срок, установленный законодательств</w:t>
      </w:r>
      <w:r>
        <w:t>ом Российской Федерации, регулирующим деятельность некредитных финансовых организаций.</w:t>
      </w:r>
    </w:p>
    <w:p w:rsidR="00000000" w:rsidRDefault="00D850BE">
      <w:bookmarkStart w:id="32" w:name="sub_15"/>
      <w:r>
        <w:t xml:space="preserve">15. Некредитные финансовые организации, реализующие усиленный и стандартный уровни </w:t>
      </w:r>
      <w:r>
        <w:lastRenderedPageBreak/>
        <w:t>защиты информации, должны информировать Банк России:</w:t>
      </w:r>
    </w:p>
    <w:bookmarkEnd w:id="32"/>
    <w:p w:rsidR="00000000" w:rsidRDefault="00D850BE">
      <w:r>
        <w:t>о выявленных инцидент</w:t>
      </w:r>
      <w:r>
        <w:t>ах защиты информации, включенных в перечень типов инцидентов;</w:t>
      </w:r>
    </w:p>
    <w:p w:rsidR="00000000" w:rsidRDefault="00D850BE">
      <w:r>
        <w:t>о планируемых мероприятиях, включая выпуск пресс-релизов и проведение пресс-конференций, размещение информации на официальных сайтах в сети "Интернет", в отношении инцидентов защиты информации н</w:t>
      </w:r>
      <w:r>
        <w:t>е позднее одного рабочего дня до дня проведения мероприятия.</w:t>
      </w:r>
    </w:p>
    <w:p w:rsidR="00000000" w:rsidRDefault="00D850BE">
      <w:bookmarkStart w:id="33" w:name="sub_16"/>
      <w:r>
        <w:t>16. В случае если некредитная финансовая организация, не относящаяся к некредитным финансовым организациям, реализующим усиленный и стандартный уровни защиты информации, выявила соответстви</w:t>
      </w:r>
      <w:r>
        <w:t xml:space="preserve">е требованиям, указанным в подпункте 5.3 пункта 5 настоящего Положения, такая некредитная финансовая организация должна обеспечить соответствие требованиям, указанным в </w:t>
      </w:r>
      <w:hyperlink w:anchor="sub_53" w:history="1">
        <w:r>
          <w:rPr>
            <w:rStyle w:val="a4"/>
          </w:rPr>
          <w:t>подпунктах 5.3</w:t>
        </w:r>
      </w:hyperlink>
      <w:r>
        <w:t xml:space="preserve"> и </w:t>
      </w:r>
      <w:hyperlink w:anchor="sub_54" w:history="1">
        <w:r>
          <w:rPr>
            <w:rStyle w:val="a4"/>
          </w:rPr>
          <w:t>5.4 пункта 5</w:t>
        </w:r>
      </w:hyperlink>
      <w:r>
        <w:t xml:space="preserve"> и </w:t>
      </w:r>
      <w:hyperlink w:anchor="sub_6" w:history="1">
        <w:r>
          <w:rPr>
            <w:rStyle w:val="a4"/>
          </w:rPr>
          <w:t>пунктах 6-15</w:t>
        </w:r>
      </w:hyperlink>
      <w:r>
        <w:t xml:space="preserve"> настоящего Положения, в срок не позднее девяти месяцев со дня выявления соответствия требованиям, указанным в подпункте 5.3 пункта 5 настоящего Положения.</w:t>
      </w:r>
    </w:p>
    <w:p w:rsidR="00000000" w:rsidRDefault="00D850BE">
      <w:bookmarkStart w:id="34" w:name="sub_17"/>
      <w:bookmarkEnd w:id="33"/>
      <w:r>
        <w:t xml:space="preserve">17. В случае совмещения некредитной финансовой организацией </w:t>
      </w:r>
      <w:r>
        <w:t xml:space="preserve">видов деятельности в сфере финансовых рынков, осуществление которых обусловливает необходимость реализации одновременно двух уровней защиты информации, такая некредитная финансовая организация должна обеспечить соблюдение требований, предъявляемых к более </w:t>
      </w:r>
      <w:r>
        <w:t>высокому уровню защиты информации, при условии, что при совмещении деятельности она использует единые объекты информационной инфраструктуры.</w:t>
      </w:r>
    </w:p>
    <w:p w:rsidR="00000000" w:rsidRDefault="00D850BE">
      <w:bookmarkStart w:id="35" w:name="sub_18"/>
      <w:bookmarkEnd w:id="34"/>
      <w:r>
        <w:t xml:space="preserve">18. Настоящее Положение не распространяется на отношения, регулируемые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26 июля 2017 года N 187-ФЗ "О безопасности критической информационной инфраструктуры Российской Федерации" (Собрание законодательства Российской Федерации, 2017, N 31, ст. 4736).</w:t>
      </w:r>
    </w:p>
    <w:p w:rsidR="00000000" w:rsidRDefault="00D850BE">
      <w:bookmarkStart w:id="36" w:name="sub_19"/>
      <w:bookmarkEnd w:id="35"/>
      <w:r>
        <w:t>19. Нас</w:t>
      </w:r>
      <w:r>
        <w:t xml:space="preserve">тоящее Положение в соответствии с решением Совета директоров Банка России (протокол заседания Совета директоров Банка России от 21 декабря 2018 года N 39) вступает в силу по истечении 10 дней после дня его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настоящим пунктом установлены иные сроки вступления их в силу.</w:t>
      </w:r>
    </w:p>
    <w:bookmarkStart w:id="37" w:name="sub_191"/>
    <w:bookmarkEnd w:id="36"/>
    <w:p w:rsidR="00000000" w:rsidRDefault="00D850BE">
      <w:r>
        <w:fldChar w:fldCharType="begin"/>
      </w:r>
      <w:r>
        <w:instrText>HYPERLINK \l "sub_9"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настоящего Положения вступает в силу с 1 января 2020 года.</w:t>
      </w:r>
    </w:p>
    <w:bookmarkStart w:id="38" w:name="sub_192"/>
    <w:bookmarkEnd w:id="37"/>
    <w:p w:rsidR="00000000" w:rsidRDefault="00D850BE">
      <w:r>
        <w:fldChar w:fldCharType="begin"/>
      </w:r>
      <w:r>
        <w:instrText>HYPERLINK \l "sub_5"</w:instrText>
      </w:r>
      <w:r>
        <w:fldChar w:fldCharType="separate"/>
      </w:r>
      <w:r>
        <w:rPr>
          <w:rStyle w:val="a4"/>
        </w:rPr>
        <w:t>Пункты 5</w:t>
      </w:r>
      <w:r>
        <w:fldChar w:fldCharType="end"/>
      </w:r>
      <w:r>
        <w:t xml:space="preserve"> и </w:t>
      </w:r>
      <w:hyperlink w:anchor="sub_6" w:history="1">
        <w:r>
          <w:rPr>
            <w:rStyle w:val="a4"/>
          </w:rPr>
          <w:t>6</w:t>
        </w:r>
      </w:hyperlink>
      <w:r>
        <w:t xml:space="preserve"> настоящего Положения вступают в силу с 1 января 2021 года.</w:t>
      </w:r>
    </w:p>
    <w:bookmarkStart w:id="39" w:name="sub_193"/>
    <w:bookmarkEnd w:id="38"/>
    <w:p w:rsidR="00000000" w:rsidRDefault="00D850BE">
      <w:r>
        <w:fldChar w:fldCharType="begin"/>
      </w:r>
      <w:r>
        <w:instrText>HYPERLINK \l "sub_8"</w:instrText>
      </w:r>
      <w:r>
        <w:fldChar w:fldCharType="separate"/>
      </w:r>
      <w:r>
        <w:rPr>
          <w:rStyle w:val="a4"/>
        </w:rPr>
        <w:t>Абзац первый пункта 8</w:t>
      </w:r>
      <w:r>
        <w:fldChar w:fldCharType="end"/>
      </w:r>
      <w:r>
        <w:t xml:space="preserve"> насто</w:t>
      </w:r>
      <w:r>
        <w:t>ящего Положения вступает в силу с 1 января 2022 года и действует по 30 июня 2023 года включительно.</w:t>
      </w:r>
    </w:p>
    <w:bookmarkStart w:id="40" w:name="sub_194"/>
    <w:bookmarkEnd w:id="39"/>
    <w:p w:rsidR="00000000" w:rsidRDefault="00D850BE">
      <w:r>
        <w:fldChar w:fldCharType="begin"/>
      </w:r>
      <w:r>
        <w:instrText>HYPERLINK \l "sub_802"</w:instrText>
      </w:r>
      <w:r>
        <w:fldChar w:fldCharType="separate"/>
      </w:r>
      <w:r>
        <w:rPr>
          <w:rStyle w:val="a4"/>
        </w:rPr>
        <w:t>Абзац второй пункта 8</w:t>
      </w:r>
      <w:r>
        <w:fldChar w:fldCharType="end"/>
      </w:r>
      <w:r>
        <w:t xml:space="preserve"> настоящего Положения вступает в силу с 1 июля 2023 года.</w:t>
      </w:r>
    </w:p>
    <w:bookmarkEnd w:id="40"/>
    <w:p w:rsidR="00000000" w:rsidRDefault="00D850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D850B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50BE" w:rsidRDefault="00D850BE">
            <w:pPr>
              <w:pStyle w:val="a6"/>
            </w:pPr>
            <w:r w:rsidRPr="00D850BE">
              <w:t>Председатель</w:t>
            </w:r>
            <w:r w:rsidRPr="00D850BE">
              <w:br/>
              <w:t>Центрального банк</w:t>
            </w:r>
            <w:r w:rsidRPr="00D850BE">
              <w:t>а</w:t>
            </w:r>
            <w:r w:rsidRPr="00D850BE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50BE" w:rsidRDefault="00D850BE">
            <w:pPr>
              <w:pStyle w:val="a5"/>
              <w:jc w:val="right"/>
            </w:pPr>
            <w:r w:rsidRPr="00D850BE">
              <w:t>Э.С. Набиуллина</w:t>
            </w:r>
          </w:p>
        </w:tc>
      </w:tr>
    </w:tbl>
    <w:p w:rsidR="00000000" w:rsidRDefault="00D850BE"/>
    <w:p w:rsidR="00000000" w:rsidRDefault="00D850BE">
      <w:r>
        <w:t>Согласовано: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D850B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50BE" w:rsidRDefault="00D850BE">
            <w:pPr>
              <w:pStyle w:val="a6"/>
            </w:pPr>
            <w:r w:rsidRPr="00D850BE">
              <w:t>Директор</w:t>
            </w:r>
            <w:r w:rsidRPr="00D850BE">
              <w:br/>
              <w:t>Федеральной службы безопасности</w:t>
            </w:r>
            <w:r w:rsidRPr="00D850BE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50BE" w:rsidRDefault="00D850BE">
            <w:pPr>
              <w:pStyle w:val="a5"/>
              <w:jc w:val="right"/>
            </w:pPr>
            <w:r w:rsidRPr="00D850BE">
              <w:t>А.В. Бортников</w:t>
            </w:r>
          </w:p>
        </w:tc>
      </w:tr>
    </w:tbl>
    <w:p w:rsidR="00000000" w:rsidRDefault="00D850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D850B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50BE" w:rsidRDefault="00D850BE">
            <w:pPr>
              <w:pStyle w:val="a6"/>
            </w:pPr>
            <w:r w:rsidRPr="00D850BE">
              <w:t>Директор</w:t>
            </w:r>
            <w:r w:rsidRPr="00D850BE">
              <w:br/>
              <w:t>Федеральной службы по техническому</w:t>
            </w:r>
            <w:r w:rsidRPr="00D850BE">
              <w:br/>
              <w:t>и экспортному контролю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50BE" w:rsidRDefault="00D850BE">
            <w:pPr>
              <w:pStyle w:val="a5"/>
              <w:jc w:val="right"/>
            </w:pPr>
            <w:r w:rsidRPr="00D850BE">
              <w:t>В.В. Селин</w:t>
            </w:r>
          </w:p>
        </w:tc>
      </w:tr>
    </w:tbl>
    <w:p w:rsidR="00000000" w:rsidRDefault="00D850BE"/>
    <w:p w:rsidR="00000000" w:rsidRDefault="00D850BE">
      <w:pPr>
        <w:pStyle w:val="a6"/>
      </w:pPr>
      <w:r>
        <w:t>Зарегистрировано в Минюсте РФ 16 мая 2019 г</w:t>
      </w:r>
      <w:r>
        <w:t>.</w:t>
      </w:r>
      <w:r>
        <w:br/>
        <w:t>Регистрационный N 54634</w:t>
      </w:r>
    </w:p>
    <w:p w:rsidR="00D850BE" w:rsidRDefault="00D850BE"/>
    <w:sectPr w:rsidR="00D850BE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BE" w:rsidRDefault="00D850BE">
      <w:r>
        <w:separator/>
      </w:r>
    </w:p>
  </w:endnote>
  <w:endnote w:type="continuationSeparator" w:id="0">
    <w:p w:rsidR="00D850BE" w:rsidRDefault="00D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D850B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850BE" w:rsidRDefault="00D850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850B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C10F5" w:rsidRPr="00D850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0F5" w:rsidRPr="00D850BE">
            <w:rPr>
              <w:rFonts w:ascii="Times New Roman" w:hAnsi="Times New Roman" w:cs="Times New Roman"/>
              <w:noProof/>
              <w:sz w:val="20"/>
              <w:szCs w:val="20"/>
            </w:rPr>
            <w:t>22.05.2019</w:t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850BE" w:rsidRDefault="00D850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0BE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850BE" w:rsidRDefault="00D850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D850B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10F5" w:rsidRPr="00D850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0F5" w:rsidRPr="00D850B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C10F5" w:rsidRPr="00D850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0F5" w:rsidRPr="00D850B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850B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BE" w:rsidRDefault="00D850BE">
      <w:r>
        <w:separator/>
      </w:r>
    </w:p>
  </w:footnote>
  <w:footnote w:type="continuationSeparator" w:id="0">
    <w:p w:rsidR="00D850BE" w:rsidRDefault="00D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850B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Положение Банка России от 17 апреля 2019 г. N 684-П "Об установлении обязательных для некредитных…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0F5"/>
    <w:rsid w:val="00CC10F5"/>
    <w:rsid w:val="00D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C88A5B-19F5-4F1F-B5C9-461A703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7405&amp;sub=761" TargetMode="External"/><Relationship Id="rId13" Type="http://schemas.openxmlformats.org/officeDocument/2006/relationships/hyperlink" Target="http://internet.garant.ru/document?id=87947&amp;sub=0" TargetMode="External"/><Relationship Id="rId18" Type="http://schemas.openxmlformats.org/officeDocument/2006/relationships/hyperlink" Target="http://internet.garant.ru/document?id=71931046&amp;sub=0" TargetMode="External"/><Relationship Id="rId26" Type="http://schemas.openxmlformats.org/officeDocument/2006/relationships/hyperlink" Target="http://internet.garant.ru/document?id=71972356&amp;sub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1190932&amp;sub=222" TargetMode="External"/><Relationship Id="rId34" Type="http://schemas.openxmlformats.org/officeDocument/2006/relationships/hyperlink" Target="http://internet.garant.ru/document?id=71630198&amp;sub=0" TargetMode="External"/><Relationship Id="rId7" Type="http://schemas.openxmlformats.org/officeDocument/2006/relationships/hyperlink" Target="http://internet.garant.ru/document?id=12027405&amp;sub=7641" TargetMode="External"/><Relationship Id="rId12" Type="http://schemas.openxmlformats.org/officeDocument/2006/relationships/hyperlink" Target="http://internet.garant.ru/document?id=70152506&amp;sub=0" TargetMode="External"/><Relationship Id="rId17" Type="http://schemas.openxmlformats.org/officeDocument/2006/relationships/hyperlink" Target="http://internet.garant.ru/document?id=71642160&amp;sub=0" TargetMode="External"/><Relationship Id="rId25" Type="http://schemas.openxmlformats.org/officeDocument/2006/relationships/hyperlink" Target="http://internet.garant.ru/document?id=70036258&amp;sub=0" TargetMode="External"/><Relationship Id="rId33" Type="http://schemas.openxmlformats.org/officeDocument/2006/relationships/hyperlink" Target="http://internet.garant.ru/document?id=890941&amp;sub=1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1931046&amp;sub=0" TargetMode="External"/><Relationship Id="rId20" Type="http://schemas.openxmlformats.org/officeDocument/2006/relationships/hyperlink" Target="http://internet.garant.ru/document?id=71190932&amp;sub=21" TargetMode="External"/><Relationship Id="rId29" Type="http://schemas.openxmlformats.org/officeDocument/2006/relationships/hyperlink" Target="http://internet.garant.ru/document?id=71972356&amp;sub=3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67&amp;sub=0" TargetMode="External"/><Relationship Id="rId24" Type="http://schemas.openxmlformats.org/officeDocument/2006/relationships/hyperlink" Target="http://internet.garant.ru/document?id=70036258&amp;sub=1046" TargetMode="External"/><Relationship Id="rId32" Type="http://schemas.openxmlformats.org/officeDocument/2006/relationships/hyperlink" Target="http://internet.garant.ru/document?id=12084522&amp;sub=6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87947&amp;sub=1000" TargetMode="External"/><Relationship Id="rId23" Type="http://schemas.openxmlformats.org/officeDocument/2006/relationships/hyperlink" Target="http://internet.garant.ru/document?id=70036258&amp;sub=1045" TargetMode="External"/><Relationship Id="rId28" Type="http://schemas.openxmlformats.org/officeDocument/2006/relationships/hyperlink" Target="http://internet.garant.ru/document?id=71972356&amp;sub=3016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?id=12048567&amp;sub=19" TargetMode="External"/><Relationship Id="rId19" Type="http://schemas.openxmlformats.org/officeDocument/2006/relationships/hyperlink" Target="http://internet.garant.ru/document?id=71931046&amp;sub=0" TargetMode="External"/><Relationship Id="rId31" Type="http://schemas.openxmlformats.org/officeDocument/2006/relationships/hyperlink" Target="http://internet.garant.ru/document?id=7041284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7405&amp;sub=761" TargetMode="External"/><Relationship Id="rId14" Type="http://schemas.openxmlformats.org/officeDocument/2006/relationships/hyperlink" Target="http://internet.garant.ru/document?id=70627118&amp;sub=0" TargetMode="External"/><Relationship Id="rId22" Type="http://schemas.openxmlformats.org/officeDocument/2006/relationships/hyperlink" Target="http://internet.garant.ru/document?id=70036258&amp;sub=1042" TargetMode="External"/><Relationship Id="rId27" Type="http://schemas.openxmlformats.org/officeDocument/2006/relationships/hyperlink" Target="http://internet.garant.ru/document?id=71821790&amp;sub=0" TargetMode="External"/><Relationship Id="rId30" Type="http://schemas.openxmlformats.org/officeDocument/2006/relationships/hyperlink" Target="http://internet.garant.ru/document?id=70952126&amp;sub=706" TargetMode="External"/><Relationship Id="rId35" Type="http://schemas.openxmlformats.org/officeDocument/2006/relationships/hyperlink" Target="http://internet.garant.ru/document?id=7214609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Жинкин</cp:lastModifiedBy>
  <cp:revision>2</cp:revision>
  <dcterms:created xsi:type="dcterms:W3CDTF">2019-05-22T12:36:00Z</dcterms:created>
  <dcterms:modified xsi:type="dcterms:W3CDTF">2019-05-22T12:36:00Z</dcterms:modified>
</cp:coreProperties>
</file>